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</w:tcPr>
          <w:p>
            <w:r>
              <w:rPr>
                <w:b/>
                <w:i w:val="0"/>
                <w:color w:val="1E2935"/>
                <w:sz w:val="34"/>
              </w:rPr>
              <w:t>Novaconseil</w:t>
            </w:r>
          </w:p>
          <w:p>
            <w:pPr>
              <w:spacing w:after="100" w:before="0"/>
              <w:jc w:val="left"/>
            </w:pPr>
            <w:r>
              <w:rPr>
                <w:b w:val="0"/>
                <w:i/>
                <w:color w:val="6B7280"/>
                <w:sz w:val="20"/>
              </w:rPr>
              <w:t>Conseil &amp; formation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30 avenue de la République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75011 Paris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SARL · SIRET 799 452 310 00024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RCS Paris · TVA FR 42 799452310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contact@novaconseil.fr</w:t>
            </w:r>
          </w:p>
        </w:tc>
        <w:tc>
          <w:tcPr>
            <w:tcW w:type="dxa" w:w="4252"/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50"/>
              </w:rPr>
              <w:t>FACTURE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2126"/>
              <w:gridCol w:w="2126"/>
            </w:tblGrid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N° de facture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F-2026-201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Date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07/07/2026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Prestation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juin 2026</w:t>
                  </w:r>
                </w:p>
              </w:tc>
            </w:tr>
          </w:tbl>
          <w:p/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</w:tcPr>
          <w:p/>
          <w:p>
            <w:pPr>
              <w:spacing w:after="40" w:before="0"/>
              <w:jc w:val="left"/>
            </w:pPr>
            <w:r>
              <w:rPr>
                <w:b/>
                <w:i w:val="0"/>
                <w:color w:val="6B7280"/>
                <w:sz w:val="17"/>
              </w:rPr>
              <w:t>FACTURER À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color w:val="4F46E5"/>
                <w:sz w:val="24"/>
              </w:rPr>
              <w:t>Groupe Estève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12 rue du Commerce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92300 Levallois-Perret</w:t>
            </w:r>
          </w:p>
        </w:tc>
        <w:tc>
          <w:tcPr>
            <w:tcW w:type="dxa" w:w="4252"/>
            <w:shd w:val="clear" w:color="auto" w:fill="4F46E5"/>
          </w:tcPr>
          <w:p>
            <w:pPr>
              <w:spacing w:before="120"/>
              <w:jc w:val="center"/>
            </w:pPr>
            <w:r>
              <w:rPr>
                <w:b/>
                <w:i w:val="0"/>
                <w:color w:val="FFFFFF"/>
                <w:sz w:val="18"/>
              </w:rPr>
              <w:t>TOTAL À PAYER</w:t>
            </w:r>
          </w:p>
          <w:p>
            <w:pPr>
              <w:spacing w:after="40" w:before="0"/>
              <w:jc w:val="center"/>
            </w:pPr>
            <w:r>
              <w:rPr>
                <w:b/>
                <w:i w:val="0"/>
                <w:color w:val="FFFFFF"/>
                <w:sz w:val="40"/>
              </w:rPr>
              <w:t>4 200,00 €</w:t>
            </w:r>
          </w:p>
          <w:p>
            <w:pPr>
              <w:spacing w:after="120" w:before="0"/>
              <w:jc w:val="center"/>
            </w:pPr>
            <w:r>
              <w:rPr>
                <w:b w:val="0"/>
                <w:i w:val="0"/>
                <w:color w:val="BCB8F5"/>
                <w:sz w:val="17"/>
              </w:rPr>
              <w:t>échéance 30 jours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5329"/>
            <w:shd w:val="clear" w:color="auto" w:fill="4F46E5"/>
          </w:tcPr>
          <w:p>
            <w:pPr>
              <w:spacing w:before="60" w:after="60"/>
              <w:jc w:val="left"/>
            </w:pPr>
            <w:r>
              <w:rPr>
                <w:b/>
                <w:i w:val="0"/>
                <w:color w:val="FFFFFF"/>
                <w:sz w:val="18"/>
              </w:rPr>
              <w:t>Désignation</w:t>
            </w:r>
          </w:p>
        </w:tc>
        <w:tc>
          <w:tcPr>
            <w:tcW w:type="dxa" w:w="907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Qté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P.U. HT</w:t>
            </w:r>
          </w:p>
        </w:tc>
        <w:tc>
          <w:tcPr>
            <w:tcW w:type="dxa" w:w="1020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TVA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Total HT</w:t>
            </w:r>
          </w:p>
        </w:tc>
      </w:tr>
      <w:tr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left"/>
            </w:pPr>
            <w:r>
              <w:rPr>
                <w:b/>
                <w:i w:val="0"/>
                <w:color w:val="4F46E5"/>
                <w:sz w:val="19"/>
              </w:rPr>
              <w:t>Audit organisationnel — mission forfaitaire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1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3 500,00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20 %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3 500,00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jc w:val="right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Total HT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3 500,00 €</w:t>
            </w:r>
          </w:p>
        </w:tc>
      </w:tr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TVA (20 %)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700,00 €</w:t>
            </w:r>
          </w:p>
        </w:tc>
      </w:tr>
      <w:tr>
        <w:tc>
          <w:tcPr>
            <w:tcW w:type="dxa" w:w="2721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2"/>
              </w:rPr>
              <w:t>Total TTC</w:t>
            </w:r>
          </w:p>
        </w:tc>
        <w:tc>
          <w:tcPr>
            <w:tcW w:type="dxa" w:w="1928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6"/>
              </w:rPr>
              <w:t>4 200,00 €</w:t>
            </w:r>
          </w:p>
        </w:tc>
      </w:tr>
    </w:tbl>
    <w:p>
      <w:pPr>
        <w:spacing w:after="8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shd w:val="clear" w:color="auto" w:fill="EEF2F7"/>
          </w:tcPr>
          <w:p>
            <w:pPr>
              <w:spacing w:before="120"/>
            </w:pPr>
            <w:r>
              <w:rPr>
                <w:b/>
                <w:i w:val="0"/>
                <w:color w:val="4F46E5"/>
                <w:sz w:val="20"/>
              </w:rPr>
              <w:t>Modalités de règlement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Règlement à 30 jours. Pas d’escompte pour paiement anticipé.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sz w:val="19"/>
              </w:rPr>
              <w:t>IBAN : FR76 3000 4000 0500 0600 0700 189   ·   BIC : BNPAFRPPXXX</w:t>
            </w:r>
          </w:p>
          <w:p>
            <w:pPr>
              <w:spacing w:after="80"/>
            </w:pPr>
          </w:p>
        </w:tc>
      </w:tr>
    </w:tbl>
    <w:p>
      <w:pPr>
        <w:spacing w:after="40" w:before="0"/>
        <w:jc w:val="left"/>
      </w:pPr>
      <w:r>
        <w:rPr>
          <w:b w:val="0"/>
          <w:i/>
          <w:color w:val="6B7280"/>
          <w:sz w:val="18"/>
        </w:rPr>
        <w:t>Pénalités de retard : 3 fois le taux d’intérêt légal. Indemnité forfaitaire de recouvrement : 40 €.</w:t>
      </w:r>
    </w:p>
    <w:p>
      <w:pPr>
        <w:spacing w:after="40"/>
      </w:pP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Prestation de services : TVA exigible à l’encaissement.</w:t>
      </w:r>
    </w:p>
    <w:p>
      <w:pPr>
        <w:spacing w:after="80" w:before="40"/>
        <w:jc w:val="center"/>
      </w:pPr>
      <w:r>
        <w:rPr>
          <w:b w:val="0"/>
          <w:i/>
          <w:color w:val="6B7280"/>
          <w:sz w:val="15"/>
        </w:rPr>
        <w:t>Modèle — remplacez les informations d’exemple par les vôtres.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