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  <w:shd w:val="clear" w:color="auto" w:fill="4F46E5"/>
          </w:tcPr>
          <w:p>
            <w:pPr>
              <w:spacing w:before="160"/>
            </w:pPr>
            <w:r>
              <w:rPr>
                <w:b/>
                <w:i w:val="0"/>
                <w:color w:val="FFFFFF"/>
                <w:sz w:val="32"/>
              </w:rPr>
              <w:t>Camille Rousseau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BCB8F5"/>
                <w:sz w:val="20"/>
              </w:rPr>
              <w:t>Rédactrice web — micro-entreprise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24 rue des Lilas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44000 Nantes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SIRET 851 337 209 00014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EI · Dispensée d’immatriculation au RCS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camille.rousseau.redac@email.fr</w:t>
            </w:r>
          </w:p>
          <w:p>
            <w:pPr>
              <w:spacing w:after="120" w:before="0"/>
              <w:jc w:val="left"/>
            </w:pPr>
          </w:p>
        </w:tc>
        <w:tc>
          <w:tcPr>
            <w:tcW w:type="dxa" w:w="4252"/>
            <w:shd w:val="clear" w:color="auto" w:fill="4F46E5"/>
          </w:tcPr>
          <w:p>
            <w:pPr>
              <w:spacing w:before="160"/>
              <w:jc w:val="right"/>
            </w:pPr>
            <w:r>
              <w:rPr>
                <w:b/>
                <w:i w:val="0"/>
                <w:color w:val="FFFFFF"/>
                <w:sz w:val="48"/>
              </w:rPr>
              <w:t>FACTURE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N° de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F-2026-031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Échéance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30 jours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N° TVA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FR __ 851337209</w:t>
                  </w:r>
                </w:p>
              </w:tc>
            </w:tr>
          </w:tbl>
          <w:p/>
          <w:p>
            <w:pPr>
              <w:spacing w:after="120" w:before="0"/>
              <w:jc w:val="left"/>
            </w:pPr>
          </w:p>
        </w:tc>
      </w:tr>
    </w:tbl>
    <w:p>
      <w:pPr>
        <w:spacing w:after="8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Agence Horizon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3 cours des 50 Otages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44000 Nantes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TOTAL À PAYER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1 800,00 €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TVA 20 % incluse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Rédaction &amp; stratégie éditoriale (forfait mensuel)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1 500,00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1 500,00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Total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1 500,00 €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300,00 €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1 800,00 €</w:t>
            </w:r>
          </w:p>
        </w:tc>
      </w:tr>
    </w:tbl>
    <w:p>
      <w:pPr>
        <w:spacing w:after="8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Redevable de la TVA depuis le dépassement du seuil de franchise (41 250 € en services / 93 500 € en ventes).</w:t>
      </w: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La TVA est facturée à compter de la date de dépassement.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